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Portaria n [.]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5103" w:firstLine="0"/>
        <w:rPr/>
      </w:pPr>
      <w:r w:rsidDel="00000000" w:rsidR="00000000" w:rsidRPr="00000000">
        <w:rPr>
          <w:rtl w:val="0"/>
        </w:rPr>
        <w:t xml:space="preserve">Estabelece as rotinas para gestão e escolha de gerenciadora de cartões, cale refeição e alimentação pelos empregados/funcionários da [.].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Art. 1º Os serviços serão contratados via credenciamento;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Art. 2º Havendo vários credenciados, caberá a cada beneficiário, no prazo de até 5 dias úteis do encerramento inicial do credenciamento, optar por uma das empresas;</w:t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Parágrafo único. Não havendo manifestação do beneficiário em tempo hábil, o mesmo será designado à empresa com mais adesões, ou sorteado a uma das empresas com mais adesões, em caso de empate.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Art. 3º É livre às empresas a apresentação de carta de serviços e benefícios, assim como a escolha de cada empregado/servidor da empresa que gerenciará o seu cartão pelo período de 12 meses;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Art. 4º. Não haverá portabilidade dos saldos, mas o servidor/empregado poderá requerer portabilidade de gerenciadora a cada 12 meses;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Art. 5º As informações da inclusão/exclusão de beneficiário constará no arquivo de pedido mensal enviado a CREDENCIADA com o acréscimo ou decréscimo de beneficiários incluídos no pedido;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Art. 6º Tanto a opção pela empresa como a portabilidade, sempre devem ser formalizadas;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Art. 7º Não haverá interlocução da Administração com as credenciadas para resolver dilemas individuais e não prescritos no contrato ou nas obrigações de fornecimento e manutenção dos serviços;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Art. 8º Cada credenciado apresentará “Carta de Serviços”, relacionando a rede credenciada e seus benefícios ofertados, sendo as cartas de amplo acesso e conhecimento aos funcionários/empregados que optarão livremente pela prestadora que melhor lhe atender;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Art. 9º A Administração não participará das ações promocionais que cada CREDENCIADA executará para atrair beneficiários e nenhum empregado/funcionário público poderá se utilizar dos espaços e ferramentas de trabalho para intervir nesse processo, sob o risco de se configurar dano ao erário e imoralidade.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Art. 10 Essa portaria produz efeitos na data de sua publicação e deve ser observada nos ritos procedimentais pertinentes.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>
        <w:spacing w:after="20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nzs4O1QbaaVnX9QH7+1SHHDG8A==">CgMxLjAyCGguZ2pkZ3hzOAByITE1NGpZblVYck5mQlJUU090ZVQ1dDhiSThibVdFWEg0ZA==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2023-08-09T21:12:00Z</dcterms:created>
  <dc:creator>.</dc:creator>
</cp:coreProperties>
</file>